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1070" w14:textId="77777777" w:rsidR="009A69A2" w:rsidRPr="003866F9" w:rsidRDefault="009A69A2" w:rsidP="005B6005">
      <w:pPr>
        <w:pStyle w:val="Rubrik1"/>
        <w:rPr>
          <w:rFonts w:ascii="Arial" w:hAnsi="Arial" w:cs="Arial"/>
          <w:sz w:val="20"/>
          <w:szCs w:val="20"/>
        </w:rPr>
      </w:pPr>
      <w:r w:rsidRPr="003866F9">
        <w:rPr>
          <w:rFonts w:ascii="Arial" w:hAnsi="Arial" w:cs="Arial"/>
          <w:sz w:val="20"/>
          <w:szCs w:val="20"/>
        </w:rPr>
        <w:t>2019-08-21</w:t>
      </w:r>
    </w:p>
    <w:p w14:paraId="39CE67F6" w14:textId="77777777" w:rsidR="009A69A2" w:rsidRPr="003866F9" w:rsidRDefault="009A69A2" w:rsidP="00E86B9C">
      <w:pPr>
        <w:pStyle w:val="Rubrik1"/>
        <w:rPr>
          <w:rFonts w:ascii="Arial" w:hAnsi="Arial" w:cs="Arial"/>
          <w:sz w:val="20"/>
          <w:szCs w:val="20"/>
        </w:rPr>
      </w:pPr>
      <w:r w:rsidRPr="003866F9">
        <w:rPr>
          <w:rFonts w:ascii="Arial" w:hAnsi="Arial" w:cs="Arial"/>
          <w:sz w:val="20"/>
          <w:szCs w:val="20"/>
        </w:rPr>
        <w:t xml:space="preserve">PM till infrastrukturminister Tomas </w:t>
      </w:r>
      <w:proofErr w:type="spellStart"/>
      <w:r w:rsidRPr="003866F9">
        <w:rPr>
          <w:rFonts w:ascii="Arial" w:hAnsi="Arial" w:cs="Arial"/>
          <w:sz w:val="20"/>
          <w:szCs w:val="20"/>
        </w:rPr>
        <w:t>Enroth</w:t>
      </w:r>
      <w:proofErr w:type="spellEnd"/>
    </w:p>
    <w:p w14:paraId="3E7728F3" w14:textId="77777777" w:rsidR="009A69A2" w:rsidRPr="003866F9" w:rsidRDefault="009A69A2" w:rsidP="00E86B9C">
      <w:pPr>
        <w:pStyle w:val="Rubrik1"/>
        <w:rPr>
          <w:rFonts w:ascii="Arial" w:hAnsi="Arial" w:cs="Arial"/>
          <w:sz w:val="20"/>
          <w:szCs w:val="20"/>
        </w:rPr>
      </w:pPr>
      <w:r w:rsidRPr="003866F9">
        <w:rPr>
          <w:rFonts w:ascii="Arial" w:hAnsi="Arial" w:cs="Arial"/>
          <w:sz w:val="20"/>
          <w:szCs w:val="20"/>
        </w:rPr>
        <w:t xml:space="preserve">CHANS TILL DISPENS – Om dagens </w:t>
      </w:r>
      <w:proofErr w:type="spellStart"/>
      <w:r w:rsidRPr="003866F9">
        <w:rPr>
          <w:rFonts w:ascii="Arial" w:hAnsi="Arial" w:cs="Arial"/>
          <w:sz w:val="20"/>
          <w:szCs w:val="20"/>
        </w:rPr>
        <w:t>synkrav</w:t>
      </w:r>
      <w:proofErr w:type="spellEnd"/>
      <w:r w:rsidRPr="003866F9">
        <w:rPr>
          <w:rFonts w:ascii="Arial" w:hAnsi="Arial" w:cs="Arial"/>
          <w:sz w:val="20"/>
          <w:szCs w:val="20"/>
        </w:rPr>
        <w:t xml:space="preserve"> och framtidens metoder att träna och testa trafiksäker körförmåga som stämmer med EU-direktivet</w:t>
      </w:r>
    </w:p>
    <w:p w14:paraId="7C6AD148" w14:textId="77777777" w:rsidR="009A69A2" w:rsidRPr="003866F9" w:rsidRDefault="009A69A2" w:rsidP="005B6005">
      <w:pPr>
        <w:pStyle w:val="Rubrik1"/>
        <w:rPr>
          <w:rFonts w:ascii="Arial" w:hAnsi="Arial" w:cs="Arial"/>
          <w:sz w:val="20"/>
          <w:szCs w:val="20"/>
        </w:rPr>
      </w:pPr>
      <w:r w:rsidRPr="003866F9">
        <w:rPr>
          <w:rFonts w:ascii="Arial" w:hAnsi="Arial" w:cs="Arial"/>
          <w:sz w:val="20"/>
          <w:szCs w:val="20"/>
        </w:rPr>
        <w:t xml:space="preserve">Dagens medicinska </w:t>
      </w:r>
      <w:proofErr w:type="spellStart"/>
      <w:r w:rsidRPr="003866F9">
        <w:rPr>
          <w:rFonts w:ascii="Arial" w:hAnsi="Arial" w:cs="Arial"/>
          <w:sz w:val="20"/>
          <w:szCs w:val="20"/>
        </w:rPr>
        <w:t>synkrav</w:t>
      </w:r>
      <w:proofErr w:type="spellEnd"/>
      <w:r w:rsidRPr="003866F9">
        <w:rPr>
          <w:rFonts w:ascii="Arial" w:hAnsi="Arial" w:cs="Arial"/>
          <w:sz w:val="20"/>
          <w:szCs w:val="20"/>
        </w:rPr>
        <w:t xml:space="preserve"> för körkort </w:t>
      </w:r>
    </w:p>
    <w:p w14:paraId="28EBC3A6" w14:textId="77777777" w:rsidR="009A69A2" w:rsidRPr="003866F9" w:rsidRDefault="009A69A2" w:rsidP="005A1D3F">
      <w:pPr>
        <w:rPr>
          <w:rFonts w:ascii="Arial" w:hAnsi="Arial" w:cs="Arial"/>
          <w:b/>
          <w:bCs/>
          <w:sz w:val="20"/>
          <w:szCs w:val="20"/>
        </w:rPr>
      </w:pPr>
    </w:p>
    <w:p w14:paraId="77BD80F5" w14:textId="77777777" w:rsidR="009A69A2" w:rsidRPr="003866F9" w:rsidRDefault="009A69A2" w:rsidP="005A1D3F">
      <w:pPr>
        <w:rPr>
          <w:rFonts w:ascii="Arial" w:hAnsi="Arial" w:cs="Arial"/>
          <w:b/>
          <w:bCs/>
          <w:sz w:val="20"/>
          <w:szCs w:val="20"/>
        </w:rPr>
      </w:pPr>
      <w:r w:rsidRPr="003866F9">
        <w:rPr>
          <w:rFonts w:ascii="Arial" w:hAnsi="Arial" w:cs="Arial"/>
          <w:b/>
          <w:bCs/>
          <w:sz w:val="20"/>
          <w:szCs w:val="20"/>
        </w:rPr>
        <w:t>Idag dras ett tusental körkort in varje år enbart baserade på kortare automatiserade synfältstester på en ögonklinik. Testerna är inte avsedda att mäta körförmåga och har kritiserats i många år, framför allt av dem som drabbas och ögonläkare som är skyldiga att anmäla sina patienter.</w:t>
      </w:r>
    </w:p>
    <w:p w14:paraId="3C09260C" w14:textId="1FC80700" w:rsidR="009A69A2" w:rsidRDefault="009A69A2" w:rsidP="00522A42">
      <w:pPr>
        <w:rPr>
          <w:rFonts w:ascii="Arial" w:hAnsi="Arial" w:cs="Arial"/>
          <w:b/>
          <w:bCs/>
          <w:sz w:val="20"/>
          <w:szCs w:val="20"/>
        </w:rPr>
      </w:pPr>
      <w:r w:rsidRPr="003866F9">
        <w:rPr>
          <w:rFonts w:ascii="Arial" w:hAnsi="Arial" w:cs="Arial"/>
          <w:b/>
          <w:bCs/>
          <w:sz w:val="20"/>
          <w:szCs w:val="20"/>
        </w:rPr>
        <w:t xml:space="preserve">Dagens medicinska </w:t>
      </w:r>
      <w:proofErr w:type="spellStart"/>
      <w:r w:rsidRPr="003866F9">
        <w:rPr>
          <w:rFonts w:ascii="Arial" w:hAnsi="Arial" w:cs="Arial"/>
          <w:b/>
          <w:bCs/>
          <w:sz w:val="20"/>
          <w:szCs w:val="20"/>
        </w:rPr>
        <w:t>synkrav</w:t>
      </w:r>
      <w:proofErr w:type="spellEnd"/>
      <w:r w:rsidRPr="003866F9">
        <w:rPr>
          <w:rFonts w:ascii="Arial" w:hAnsi="Arial" w:cs="Arial"/>
          <w:b/>
          <w:bCs/>
          <w:sz w:val="20"/>
          <w:szCs w:val="20"/>
        </w:rPr>
        <w:t xml:space="preserve"> för körkort infördes 29 oktober 2010 och återfinns i Transportstyrelsens föreskrift TSFS 2010:125. Den ersatte tidigare VVFS 2008:158. Skärpningen av synfältskraven genomfördes utan att det diskuterades bland experter för de flesta då enbart synfältsmätningar krävs då någon form av defekt befaras. Det handlar huvudsakligen om personer som drabbats av glaukom, stroke, diabetes, tumör samt mekaniska skador i ögonen.</w:t>
      </w:r>
    </w:p>
    <w:p w14:paraId="57C14D76" w14:textId="42D44768" w:rsidR="00981D47" w:rsidRPr="003866F9" w:rsidRDefault="00981D47" w:rsidP="00522A42">
      <w:pPr>
        <w:rPr>
          <w:rFonts w:ascii="Arial" w:hAnsi="Arial" w:cs="Arial"/>
          <w:b/>
          <w:bCs/>
          <w:sz w:val="20"/>
          <w:szCs w:val="20"/>
        </w:rPr>
      </w:pPr>
      <w:r w:rsidRPr="00981D47">
        <w:rPr>
          <w:rFonts w:ascii="Arial" w:hAnsi="Arial" w:cs="Arial"/>
          <w:b/>
          <w:bCs/>
          <w:sz w:val="20"/>
          <w:szCs w:val="20"/>
          <w:highlight w:val="yellow"/>
        </w:rPr>
        <w:t>Forskningsresultaten är också entydiga, det går inte att med synfältmätningar avgöra om en individ kan köra säkert eller inte.</w:t>
      </w:r>
    </w:p>
    <w:p w14:paraId="46057BB1" w14:textId="77777777" w:rsidR="009A69A2" w:rsidRPr="003866F9" w:rsidRDefault="009A69A2" w:rsidP="005A1D3F">
      <w:pPr>
        <w:rPr>
          <w:rFonts w:ascii="Arial" w:hAnsi="Arial" w:cs="Arial"/>
          <w:b/>
          <w:bCs/>
          <w:sz w:val="20"/>
          <w:szCs w:val="20"/>
        </w:rPr>
      </w:pPr>
    </w:p>
    <w:p w14:paraId="5B670D44" w14:textId="77777777" w:rsidR="009A69A2" w:rsidRPr="003866F9" w:rsidRDefault="009A69A2" w:rsidP="009A1A29">
      <w:pPr>
        <w:pStyle w:val="Rubrik2"/>
        <w:rPr>
          <w:rFonts w:ascii="Arial" w:hAnsi="Arial" w:cs="Arial"/>
          <w:sz w:val="20"/>
          <w:szCs w:val="20"/>
        </w:rPr>
      </w:pPr>
      <w:r w:rsidRPr="003866F9">
        <w:rPr>
          <w:rFonts w:ascii="Arial" w:hAnsi="Arial" w:cs="Arial"/>
          <w:sz w:val="20"/>
          <w:szCs w:val="20"/>
        </w:rPr>
        <w:t>Bakgrund</w:t>
      </w:r>
    </w:p>
    <w:p w14:paraId="1B74CCFC" w14:textId="77777777" w:rsidR="009A69A2" w:rsidRPr="003866F9" w:rsidRDefault="009A69A2" w:rsidP="005A1D3F">
      <w:pPr>
        <w:rPr>
          <w:rFonts w:ascii="Arial" w:hAnsi="Arial" w:cs="Arial"/>
          <w:b/>
          <w:bCs/>
          <w:sz w:val="20"/>
          <w:szCs w:val="20"/>
        </w:rPr>
      </w:pPr>
    </w:p>
    <w:p w14:paraId="6AE8ACDF" w14:textId="77777777" w:rsidR="009A69A2" w:rsidRPr="003866F9" w:rsidRDefault="009A69A2" w:rsidP="005A1D3F">
      <w:pPr>
        <w:rPr>
          <w:rFonts w:ascii="Arial" w:hAnsi="Arial" w:cs="Arial"/>
          <w:b/>
          <w:bCs/>
          <w:sz w:val="20"/>
          <w:szCs w:val="20"/>
        </w:rPr>
      </w:pPr>
      <w:r w:rsidRPr="003866F9">
        <w:rPr>
          <w:rFonts w:ascii="Arial" w:hAnsi="Arial" w:cs="Arial"/>
          <w:b/>
          <w:bCs/>
          <w:sz w:val="20"/>
          <w:szCs w:val="20"/>
        </w:rPr>
        <w:t>Som orsak till de skärpta synfältskraven hänvisas till EU-direktiv 2006/126/EC där det går att läsa följande:</w:t>
      </w:r>
    </w:p>
    <w:p w14:paraId="7B3CD23B" w14:textId="77777777" w:rsidR="009A69A2" w:rsidRPr="003866F9" w:rsidRDefault="009A69A2" w:rsidP="005A1D3F">
      <w:pPr>
        <w:rPr>
          <w:rFonts w:ascii="Arial" w:hAnsi="Arial" w:cs="Arial"/>
          <w:b/>
          <w:bCs/>
          <w:sz w:val="20"/>
          <w:szCs w:val="20"/>
        </w:rPr>
      </w:pPr>
    </w:p>
    <w:p w14:paraId="675A1EF0" w14:textId="77777777" w:rsidR="009A69A2" w:rsidRPr="003866F9" w:rsidRDefault="009A69A2" w:rsidP="00E8696A">
      <w:pPr>
        <w:rPr>
          <w:rFonts w:ascii="Arial" w:hAnsi="Arial" w:cs="Arial"/>
          <w:b/>
          <w:bCs/>
          <w:i/>
          <w:sz w:val="20"/>
          <w:szCs w:val="20"/>
        </w:rPr>
      </w:pPr>
      <w:r w:rsidRPr="003866F9">
        <w:rPr>
          <w:rFonts w:ascii="Arial" w:hAnsi="Arial" w:cs="Arial"/>
          <w:b/>
          <w:bCs/>
          <w:i/>
          <w:sz w:val="20"/>
          <w:szCs w:val="20"/>
        </w:rPr>
        <w:t>”Detta direktiv bör inte påverka befintlig behörighet att</w:t>
      </w:r>
    </w:p>
    <w:p w14:paraId="0761C09F" w14:textId="77777777" w:rsidR="009A69A2" w:rsidRPr="003866F9" w:rsidRDefault="009A69A2" w:rsidP="00E8696A">
      <w:pPr>
        <w:rPr>
          <w:rFonts w:ascii="Arial" w:hAnsi="Arial" w:cs="Arial"/>
          <w:b/>
          <w:bCs/>
          <w:i/>
          <w:sz w:val="20"/>
          <w:szCs w:val="20"/>
        </w:rPr>
      </w:pPr>
      <w:r w:rsidRPr="003866F9">
        <w:rPr>
          <w:rFonts w:ascii="Arial" w:hAnsi="Arial" w:cs="Arial"/>
          <w:b/>
          <w:bCs/>
          <w:i/>
          <w:sz w:val="20"/>
          <w:szCs w:val="20"/>
        </w:rPr>
        <w:t>framföra fordon som beviljats eller förvärvats före dagen</w:t>
      </w:r>
    </w:p>
    <w:p w14:paraId="4C2748A9" w14:textId="77777777" w:rsidR="009A69A2" w:rsidRPr="003866F9" w:rsidRDefault="009A69A2" w:rsidP="00E8696A">
      <w:pPr>
        <w:rPr>
          <w:rFonts w:ascii="Arial" w:hAnsi="Arial" w:cs="Arial"/>
          <w:b/>
          <w:bCs/>
          <w:i/>
          <w:sz w:val="20"/>
          <w:szCs w:val="20"/>
        </w:rPr>
      </w:pPr>
      <w:r w:rsidRPr="003866F9">
        <w:rPr>
          <w:rFonts w:ascii="Arial" w:hAnsi="Arial" w:cs="Arial"/>
          <w:b/>
          <w:bCs/>
          <w:i/>
          <w:sz w:val="20"/>
          <w:szCs w:val="20"/>
        </w:rPr>
        <w:t>för direktivets tillämpning.”</w:t>
      </w:r>
    </w:p>
    <w:p w14:paraId="1A1B5E61" w14:textId="77777777" w:rsidR="009A69A2" w:rsidRPr="003866F9" w:rsidRDefault="009A69A2" w:rsidP="00E8696A">
      <w:pPr>
        <w:rPr>
          <w:rFonts w:ascii="Arial" w:hAnsi="Arial" w:cs="Arial"/>
          <w:b/>
          <w:bCs/>
          <w:i/>
          <w:sz w:val="20"/>
          <w:szCs w:val="20"/>
        </w:rPr>
      </w:pPr>
    </w:p>
    <w:p w14:paraId="270060B1" w14:textId="77777777" w:rsidR="009A69A2" w:rsidRPr="003866F9" w:rsidRDefault="009A69A2" w:rsidP="00E8696A">
      <w:pPr>
        <w:rPr>
          <w:rFonts w:ascii="Arial" w:hAnsi="Arial" w:cs="Arial"/>
          <w:b/>
          <w:bCs/>
          <w:sz w:val="20"/>
          <w:szCs w:val="20"/>
        </w:rPr>
      </w:pPr>
      <w:r w:rsidRPr="003866F9">
        <w:rPr>
          <w:rFonts w:ascii="Arial" w:hAnsi="Arial" w:cs="Arial"/>
          <w:b/>
          <w:bCs/>
          <w:sz w:val="20"/>
          <w:szCs w:val="20"/>
        </w:rPr>
        <w:t xml:space="preserve">Man fortsätter: </w:t>
      </w:r>
    </w:p>
    <w:p w14:paraId="548A3BA5" w14:textId="77777777" w:rsidR="009A69A2" w:rsidRPr="003866F9" w:rsidRDefault="009A69A2" w:rsidP="00E8696A">
      <w:pPr>
        <w:rPr>
          <w:rFonts w:ascii="Arial" w:hAnsi="Arial" w:cs="Arial"/>
          <w:b/>
          <w:bCs/>
          <w:i/>
          <w:sz w:val="20"/>
          <w:szCs w:val="20"/>
        </w:rPr>
      </w:pPr>
    </w:p>
    <w:p w14:paraId="561EFE82" w14:textId="77777777" w:rsidR="009A69A2" w:rsidRPr="003866F9" w:rsidRDefault="009A69A2" w:rsidP="00267FF9">
      <w:pPr>
        <w:rPr>
          <w:rFonts w:ascii="Arial" w:hAnsi="Arial" w:cs="Arial"/>
          <w:b/>
          <w:bCs/>
          <w:i/>
          <w:sz w:val="20"/>
          <w:szCs w:val="20"/>
        </w:rPr>
      </w:pPr>
      <w:r w:rsidRPr="003866F9">
        <w:rPr>
          <w:rFonts w:ascii="Arial" w:hAnsi="Arial" w:cs="Arial"/>
          <w:b/>
          <w:bCs/>
          <w:i/>
          <w:sz w:val="20"/>
          <w:szCs w:val="20"/>
        </w:rPr>
        <w:t>”Det horisontella synfältet bör vara minst 120 grader, som ska kunna utvidgas minst 50 grader till höger och vänster och 20 grader uppåt och nedåt. Inga defekter får finnas inom den centrala 20-gradersradien.”</w:t>
      </w:r>
    </w:p>
    <w:p w14:paraId="7E16ABB2" w14:textId="77777777" w:rsidR="009A69A2" w:rsidRPr="003866F9" w:rsidRDefault="009A69A2" w:rsidP="00E8696A">
      <w:pPr>
        <w:rPr>
          <w:rFonts w:ascii="Arial" w:hAnsi="Arial" w:cs="Arial"/>
          <w:b/>
          <w:bCs/>
          <w:i/>
          <w:sz w:val="20"/>
          <w:szCs w:val="20"/>
        </w:rPr>
      </w:pPr>
    </w:p>
    <w:p w14:paraId="46C5D023" w14:textId="77777777" w:rsidR="009A69A2" w:rsidRPr="003866F9" w:rsidRDefault="009A69A2" w:rsidP="005A1D3F">
      <w:pPr>
        <w:rPr>
          <w:rFonts w:ascii="Arial" w:hAnsi="Arial" w:cs="Arial"/>
          <w:b/>
          <w:bCs/>
          <w:i/>
          <w:color w:val="FF0000"/>
          <w:sz w:val="20"/>
          <w:szCs w:val="20"/>
        </w:rPr>
      </w:pPr>
      <w:r w:rsidRPr="003866F9">
        <w:rPr>
          <w:rFonts w:ascii="Arial" w:hAnsi="Arial" w:cs="Arial"/>
          <w:b/>
          <w:bCs/>
          <w:i/>
          <w:color w:val="FF0000"/>
          <w:sz w:val="20"/>
          <w:szCs w:val="20"/>
        </w:rPr>
        <w:t>”Körkort kan i undantagsfall övervägas för förare i grupp 1 då standarderna för synfältet eller synskärpan inte uppfylls. I sådana fall ska föraren undersökas av behörig medicinsk personal som kan konstatera att det inte föreligger någon annan nedsättning av synfunktionen, inklusive bländnings- och kontrastkänslighet eller nedsatt mörkerseende. Förare eller sökande bör även klara av ett praktiskt test som anordnas av en behörig myndighet.”</w:t>
      </w:r>
    </w:p>
    <w:p w14:paraId="2DCEADF3" w14:textId="77777777" w:rsidR="009A69A2" w:rsidRPr="003866F9" w:rsidRDefault="009A69A2" w:rsidP="005A1D3F">
      <w:pPr>
        <w:rPr>
          <w:rFonts w:ascii="Arial" w:hAnsi="Arial" w:cs="Arial"/>
          <w:b/>
          <w:bCs/>
          <w:sz w:val="20"/>
          <w:szCs w:val="20"/>
        </w:rPr>
      </w:pPr>
      <w:r w:rsidRPr="003866F9">
        <w:rPr>
          <w:rFonts w:ascii="Arial" w:hAnsi="Arial" w:cs="Arial"/>
          <w:b/>
          <w:bCs/>
          <w:sz w:val="20"/>
          <w:szCs w:val="20"/>
        </w:rPr>
        <w:t xml:space="preserve">  </w:t>
      </w:r>
    </w:p>
    <w:p w14:paraId="6CF417F2" w14:textId="77777777" w:rsidR="009A69A2" w:rsidRPr="003866F9" w:rsidRDefault="009A69A2" w:rsidP="007E75EA">
      <w:pPr>
        <w:rPr>
          <w:rFonts w:ascii="Arial" w:hAnsi="Arial" w:cs="Arial"/>
          <w:b/>
          <w:bCs/>
          <w:sz w:val="20"/>
          <w:szCs w:val="20"/>
        </w:rPr>
      </w:pPr>
      <w:r w:rsidRPr="003866F9">
        <w:rPr>
          <w:rFonts w:ascii="Arial" w:hAnsi="Arial" w:cs="Arial"/>
          <w:b/>
          <w:bCs/>
          <w:sz w:val="20"/>
          <w:szCs w:val="20"/>
        </w:rPr>
        <w:t xml:space="preserve">Mot denna bakgrund går det att utläsa att </w:t>
      </w:r>
    </w:p>
    <w:p w14:paraId="6B47827E" w14:textId="77777777" w:rsidR="009A69A2" w:rsidRPr="003866F9" w:rsidRDefault="009A69A2" w:rsidP="00C975F9">
      <w:pPr>
        <w:rPr>
          <w:rFonts w:ascii="Arial" w:hAnsi="Arial" w:cs="Arial"/>
          <w:b/>
          <w:bCs/>
          <w:sz w:val="20"/>
          <w:szCs w:val="20"/>
        </w:rPr>
      </w:pPr>
      <w:r w:rsidRPr="003866F9">
        <w:rPr>
          <w:rFonts w:ascii="Arial" w:hAnsi="Arial" w:cs="Arial"/>
          <w:b/>
          <w:bCs/>
          <w:sz w:val="20"/>
          <w:szCs w:val="20"/>
        </w:rPr>
        <w:t>EU-direktivet</w:t>
      </w:r>
    </w:p>
    <w:p w14:paraId="3166050D" w14:textId="77777777" w:rsidR="009A69A2" w:rsidRPr="003866F9" w:rsidRDefault="009A69A2" w:rsidP="00C975F9">
      <w:pPr>
        <w:pStyle w:val="Liststycke"/>
        <w:numPr>
          <w:ilvl w:val="0"/>
          <w:numId w:val="5"/>
        </w:numPr>
        <w:rPr>
          <w:rFonts w:ascii="Arial" w:hAnsi="Arial" w:cs="Arial"/>
          <w:b/>
          <w:bCs/>
          <w:sz w:val="20"/>
          <w:szCs w:val="20"/>
        </w:rPr>
      </w:pPr>
      <w:r w:rsidRPr="003866F9">
        <w:rPr>
          <w:rFonts w:ascii="Arial" w:hAnsi="Arial" w:cs="Arial"/>
          <w:b/>
          <w:bCs/>
          <w:sz w:val="20"/>
          <w:szCs w:val="20"/>
        </w:rPr>
        <w:t xml:space="preserve">Inte nämner mätmetoder. Dock står det skrivet i den bakomliggande rapporten ”New standards for the </w:t>
      </w:r>
      <w:proofErr w:type="spellStart"/>
      <w:r w:rsidRPr="003866F9">
        <w:rPr>
          <w:rFonts w:ascii="Arial" w:hAnsi="Arial" w:cs="Arial"/>
          <w:b/>
          <w:bCs/>
          <w:sz w:val="20"/>
          <w:szCs w:val="20"/>
        </w:rPr>
        <w:t>visual</w:t>
      </w:r>
      <w:proofErr w:type="spellEnd"/>
      <w:r w:rsidRPr="003866F9">
        <w:rPr>
          <w:rFonts w:ascii="Arial" w:hAnsi="Arial" w:cs="Arial"/>
          <w:b/>
          <w:bCs/>
          <w:sz w:val="20"/>
          <w:szCs w:val="20"/>
        </w:rPr>
        <w:t xml:space="preserve"> </w:t>
      </w:r>
      <w:proofErr w:type="spellStart"/>
      <w:r w:rsidRPr="003866F9">
        <w:rPr>
          <w:rFonts w:ascii="Arial" w:hAnsi="Arial" w:cs="Arial"/>
          <w:b/>
          <w:bCs/>
          <w:sz w:val="20"/>
          <w:szCs w:val="20"/>
        </w:rPr>
        <w:t>functions</w:t>
      </w:r>
      <w:proofErr w:type="spellEnd"/>
      <w:r w:rsidRPr="003866F9">
        <w:rPr>
          <w:rFonts w:ascii="Arial" w:hAnsi="Arial" w:cs="Arial"/>
          <w:b/>
          <w:bCs/>
          <w:sz w:val="20"/>
          <w:szCs w:val="20"/>
        </w:rPr>
        <w:t xml:space="preserve"> </w:t>
      </w:r>
      <w:proofErr w:type="spellStart"/>
      <w:r w:rsidRPr="003866F9">
        <w:rPr>
          <w:rFonts w:ascii="Arial" w:hAnsi="Arial" w:cs="Arial"/>
          <w:b/>
          <w:bCs/>
          <w:sz w:val="20"/>
          <w:szCs w:val="20"/>
        </w:rPr>
        <w:t>of</w:t>
      </w:r>
      <w:proofErr w:type="spellEnd"/>
      <w:r w:rsidRPr="003866F9">
        <w:rPr>
          <w:rFonts w:ascii="Arial" w:hAnsi="Arial" w:cs="Arial"/>
          <w:b/>
          <w:bCs/>
          <w:sz w:val="20"/>
          <w:szCs w:val="20"/>
        </w:rPr>
        <w:t xml:space="preserve"> drivers”, att en automatiserad undersökning av synfältet inte anses tillförlitlig att grunda ett slutligt avgörande på.</w:t>
      </w:r>
    </w:p>
    <w:p w14:paraId="31DC7F24" w14:textId="77777777" w:rsidR="009A69A2" w:rsidRPr="003866F9" w:rsidRDefault="009A69A2" w:rsidP="00C975F9">
      <w:pPr>
        <w:pStyle w:val="Liststycke"/>
        <w:numPr>
          <w:ilvl w:val="0"/>
          <w:numId w:val="5"/>
        </w:numPr>
        <w:rPr>
          <w:rFonts w:ascii="Arial" w:hAnsi="Arial" w:cs="Arial"/>
          <w:b/>
          <w:bCs/>
          <w:sz w:val="20"/>
          <w:szCs w:val="20"/>
        </w:rPr>
      </w:pPr>
      <w:r w:rsidRPr="003866F9">
        <w:rPr>
          <w:rFonts w:ascii="Arial" w:hAnsi="Arial" w:cs="Arial"/>
          <w:b/>
          <w:bCs/>
          <w:sz w:val="20"/>
          <w:szCs w:val="20"/>
        </w:rPr>
        <w:t xml:space="preserve">Anger ett synfält på 120x40 grader, vilket i praktiken är detsamma som det rektangulära område som ett normalt öga presterar. Vetenskapliga studier som påvisar att detta område verkligen behövs saknas. Men erfarenhet har visat att enögda personer klarar av att köra bil, vilket föranlett att 120x40 grader anses rimligt. För att enögda personer </w:t>
      </w:r>
      <w:r w:rsidRPr="003866F9">
        <w:rPr>
          <w:rFonts w:ascii="Arial" w:hAnsi="Arial" w:cs="Arial"/>
          <w:b/>
          <w:bCs/>
          <w:sz w:val="20"/>
          <w:szCs w:val="20"/>
        </w:rPr>
        <w:lastRenderedPageBreak/>
        <w:t xml:space="preserve">med djupa ögonhålor/stor näsa inte ska underkännas godkänns en förskjutning av synfältet med 10 grader. </w:t>
      </w:r>
    </w:p>
    <w:p w14:paraId="7306637D" w14:textId="77777777" w:rsidR="009A69A2" w:rsidRPr="003866F9" w:rsidRDefault="009A69A2" w:rsidP="00CE6BC1">
      <w:pPr>
        <w:pStyle w:val="Liststycke"/>
        <w:numPr>
          <w:ilvl w:val="0"/>
          <w:numId w:val="5"/>
        </w:numPr>
        <w:rPr>
          <w:rFonts w:ascii="Arial" w:hAnsi="Arial" w:cs="Arial"/>
          <w:b/>
          <w:bCs/>
          <w:sz w:val="20"/>
          <w:szCs w:val="20"/>
        </w:rPr>
      </w:pPr>
      <w:r w:rsidRPr="003866F9">
        <w:rPr>
          <w:rFonts w:ascii="Arial" w:hAnsi="Arial" w:cs="Arial"/>
          <w:b/>
          <w:bCs/>
          <w:sz w:val="20"/>
          <w:szCs w:val="20"/>
        </w:rPr>
        <w:t xml:space="preserve">Ett annat EU-direktiv (77/649/EEC) som är mer fokuserat på fordon, har dock satt ett siktkrav i höjdled från förarplatsen på endast 12 grader. </w:t>
      </w:r>
    </w:p>
    <w:p w14:paraId="5723A353" w14:textId="77777777" w:rsidR="009A69A2" w:rsidRPr="003866F9" w:rsidRDefault="009A69A2" w:rsidP="005A1D3F">
      <w:pPr>
        <w:rPr>
          <w:rFonts w:ascii="Arial" w:hAnsi="Arial" w:cs="Arial"/>
          <w:b/>
          <w:bCs/>
          <w:sz w:val="20"/>
          <w:szCs w:val="20"/>
        </w:rPr>
      </w:pPr>
      <w:r w:rsidRPr="003866F9">
        <w:rPr>
          <w:rFonts w:ascii="Arial" w:hAnsi="Arial" w:cs="Arial"/>
          <w:b/>
          <w:bCs/>
          <w:sz w:val="20"/>
          <w:szCs w:val="20"/>
        </w:rPr>
        <w:t>Det är alltså de här direktiven som de svenska föreskrifterna bygger sina tillämpningar på. Det framgår av nedanstående genomgång att man inte i tillämpningen av direktiven inte fullföljt dem i alla delar, vilket kan ha lett till alltför hårda och svårtolkade beslut för den enskilde som tycker sig klara av att se att köra. Framför allt har möjligheten att inte få göra förarprov kritiserats.</w:t>
      </w:r>
    </w:p>
    <w:p w14:paraId="0D3D9D2B" w14:textId="77777777" w:rsidR="009A69A2" w:rsidRPr="003866F9" w:rsidRDefault="009A69A2" w:rsidP="005A1D3F">
      <w:pPr>
        <w:rPr>
          <w:rFonts w:ascii="Arial" w:hAnsi="Arial" w:cs="Arial"/>
          <w:b/>
          <w:bCs/>
          <w:sz w:val="20"/>
          <w:szCs w:val="20"/>
        </w:rPr>
      </w:pPr>
      <w:r w:rsidRPr="003866F9">
        <w:rPr>
          <w:rFonts w:ascii="Arial" w:hAnsi="Arial" w:cs="Arial"/>
          <w:b/>
          <w:bCs/>
          <w:sz w:val="20"/>
          <w:szCs w:val="20"/>
        </w:rPr>
        <w:t xml:space="preserve">  </w:t>
      </w:r>
    </w:p>
    <w:p w14:paraId="0FC33152" w14:textId="77777777" w:rsidR="009A69A2" w:rsidRPr="003866F9" w:rsidRDefault="009A69A2" w:rsidP="00E91C16">
      <w:pPr>
        <w:pStyle w:val="Rubrik2"/>
        <w:rPr>
          <w:rFonts w:ascii="Arial" w:hAnsi="Arial" w:cs="Arial"/>
          <w:sz w:val="20"/>
          <w:szCs w:val="20"/>
        </w:rPr>
      </w:pPr>
      <w:r w:rsidRPr="003866F9">
        <w:rPr>
          <w:rFonts w:ascii="Arial" w:hAnsi="Arial" w:cs="Arial"/>
          <w:sz w:val="20"/>
          <w:szCs w:val="20"/>
        </w:rPr>
        <w:t>CTD-projektet börjar här: Kan man testa körförmåga praktiskt och kan man träna upp sin förmåga att köra bil efter ett synfältsbortfall?</w:t>
      </w:r>
    </w:p>
    <w:p w14:paraId="4E47E131" w14:textId="77777777" w:rsidR="009A69A2" w:rsidRPr="003866F9" w:rsidRDefault="009A69A2" w:rsidP="00575584">
      <w:pPr>
        <w:rPr>
          <w:rFonts w:ascii="Arial" w:hAnsi="Arial" w:cs="Arial"/>
          <w:b/>
          <w:bCs/>
          <w:sz w:val="20"/>
          <w:szCs w:val="20"/>
        </w:rPr>
      </w:pPr>
    </w:p>
    <w:p w14:paraId="3696FCCD" w14:textId="77777777" w:rsidR="009A69A2" w:rsidRPr="003866F9" w:rsidRDefault="009A69A2" w:rsidP="00575584">
      <w:pPr>
        <w:rPr>
          <w:rFonts w:ascii="Arial" w:hAnsi="Arial" w:cs="Arial"/>
          <w:b/>
          <w:bCs/>
          <w:sz w:val="20"/>
          <w:szCs w:val="20"/>
        </w:rPr>
      </w:pPr>
      <w:r w:rsidRPr="003866F9">
        <w:rPr>
          <w:rFonts w:ascii="Arial" w:hAnsi="Arial" w:cs="Arial"/>
          <w:b/>
          <w:bCs/>
          <w:sz w:val="20"/>
          <w:szCs w:val="20"/>
        </w:rPr>
        <w:t xml:space="preserve">Vi har lärt oss mycket av de 19 personer som är högt motiverade och står i kö för att göra simulatortester vid VTI i Linköping och betala 18 750 kronor för detta. Simulatortester som nu är pausade i avvaktan på utvärdering av de ca 170 personer som klarat proven. Ingen av dem har anmälts i någon olycka sedan 1,5 år. </w:t>
      </w:r>
    </w:p>
    <w:p w14:paraId="596D22CE" w14:textId="77777777" w:rsidR="009A69A2" w:rsidRPr="003866F9" w:rsidRDefault="009A69A2" w:rsidP="00575584">
      <w:pPr>
        <w:rPr>
          <w:rFonts w:ascii="Arial" w:hAnsi="Arial" w:cs="Arial"/>
          <w:b/>
          <w:bCs/>
          <w:sz w:val="20"/>
          <w:szCs w:val="20"/>
        </w:rPr>
      </w:pPr>
    </w:p>
    <w:p w14:paraId="4ADD2CF9" w14:textId="77777777" w:rsidR="009A69A2" w:rsidRPr="003866F9" w:rsidRDefault="009A69A2" w:rsidP="00E86B9C">
      <w:pPr>
        <w:rPr>
          <w:rFonts w:ascii="Arial" w:hAnsi="Arial" w:cs="Arial"/>
          <w:b/>
          <w:bCs/>
          <w:sz w:val="20"/>
          <w:szCs w:val="20"/>
        </w:rPr>
      </w:pPr>
      <w:r w:rsidRPr="003866F9">
        <w:rPr>
          <w:rFonts w:ascii="Arial" w:hAnsi="Arial" w:cs="Arial"/>
          <w:b/>
          <w:bCs/>
          <w:sz w:val="20"/>
          <w:szCs w:val="20"/>
        </w:rPr>
        <w:t xml:space="preserve">I CTD-projektet tränar vi ögonrörelser, körförmåga på inhägnat område och i simulator. Vi testar kontinuerligt utifrån vad som krävs på väg med mycket erfarna trafikpedagoger med behörighet som förarprövare och i simulator och vet nu att metoderna gett intressanta resultat. </w:t>
      </w:r>
    </w:p>
    <w:p w14:paraId="22133B21" w14:textId="77777777" w:rsidR="009A69A2" w:rsidRPr="003866F9" w:rsidRDefault="009A69A2" w:rsidP="00E91C16">
      <w:pPr>
        <w:pStyle w:val="Rubrik2"/>
        <w:rPr>
          <w:rFonts w:ascii="Arial" w:hAnsi="Arial" w:cs="Arial"/>
          <w:sz w:val="20"/>
          <w:szCs w:val="20"/>
        </w:rPr>
      </w:pPr>
      <w:r w:rsidRPr="003866F9">
        <w:rPr>
          <w:rFonts w:ascii="Arial" w:hAnsi="Arial" w:cs="Arial"/>
          <w:sz w:val="20"/>
          <w:szCs w:val="20"/>
        </w:rPr>
        <w:t>Mycket preliminära resultat</w:t>
      </w:r>
    </w:p>
    <w:p w14:paraId="56D01F54" w14:textId="77777777" w:rsidR="009A69A2" w:rsidRPr="003866F9" w:rsidRDefault="009A69A2" w:rsidP="00DE0806">
      <w:pPr>
        <w:rPr>
          <w:rFonts w:ascii="Arial" w:hAnsi="Arial" w:cs="Arial"/>
          <w:b/>
          <w:bCs/>
          <w:sz w:val="20"/>
          <w:szCs w:val="20"/>
        </w:rPr>
      </w:pPr>
    </w:p>
    <w:p w14:paraId="094EB827" w14:textId="77777777" w:rsidR="009A69A2" w:rsidRPr="003866F9" w:rsidRDefault="009A69A2" w:rsidP="002461BE">
      <w:pPr>
        <w:rPr>
          <w:rFonts w:ascii="Arial" w:hAnsi="Arial" w:cs="Arial"/>
          <w:b/>
          <w:bCs/>
          <w:sz w:val="20"/>
          <w:szCs w:val="20"/>
        </w:rPr>
      </w:pPr>
      <w:r w:rsidRPr="003866F9">
        <w:rPr>
          <w:rFonts w:ascii="Arial" w:hAnsi="Arial" w:cs="Arial"/>
          <w:b/>
          <w:bCs/>
          <w:sz w:val="20"/>
          <w:szCs w:val="20"/>
        </w:rPr>
        <w:t xml:space="preserve">De 19 personerna med glaukom, stroke och diabetes har resultatmässigt delats in i tre grupper: Grönt, gult och rött efter att ha bedömts av förarprövare på inhägnad bana. </w:t>
      </w:r>
    </w:p>
    <w:p w14:paraId="2BFB7375" w14:textId="77777777" w:rsidR="009A69A2" w:rsidRPr="003866F9" w:rsidRDefault="009A69A2" w:rsidP="002461BE">
      <w:pPr>
        <w:rPr>
          <w:rFonts w:ascii="Arial" w:hAnsi="Arial" w:cs="Arial"/>
          <w:b/>
          <w:bCs/>
          <w:sz w:val="20"/>
          <w:szCs w:val="20"/>
        </w:rPr>
      </w:pPr>
      <w:r w:rsidRPr="003866F9">
        <w:rPr>
          <w:rFonts w:ascii="Arial" w:hAnsi="Arial" w:cs="Arial"/>
          <w:b/>
          <w:bCs/>
          <w:sz w:val="20"/>
          <w:szCs w:val="20"/>
        </w:rPr>
        <w:t xml:space="preserve"> </w:t>
      </w:r>
    </w:p>
    <w:p w14:paraId="68890753" w14:textId="77777777" w:rsidR="009A69A2" w:rsidRPr="003866F9" w:rsidRDefault="009A69A2" w:rsidP="00DE0806">
      <w:pPr>
        <w:rPr>
          <w:rFonts w:ascii="Arial" w:hAnsi="Arial" w:cs="Arial"/>
          <w:b/>
          <w:bCs/>
          <w:sz w:val="20"/>
          <w:szCs w:val="20"/>
          <w:lang w:eastAsia="en-US"/>
        </w:rPr>
      </w:pPr>
      <w:r w:rsidRPr="003866F9">
        <w:rPr>
          <w:rFonts w:ascii="Arial" w:hAnsi="Arial" w:cs="Arial"/>
          <w:b/>
          <w:bCs/>
          <w:sz w:val="20"/>
          <w:szCs w:val="20"/>
          <w:lang w:eastAsia="en-US"/>
        </w:rPr>
        <w:t>Grönt innebär att de är godkända. Det är 8 av 19.</w:t>
      </w:r>
    </w:p>
    <w:p w14:paraId="6BEAE15A" w14:textId="77777777" w:rsidR="009A69A2" w:rsidRPr="003866F9" w:rsidRDefault="009A69A2" w:rsidP="003866F9">
      <w:pPr>
        <w:rPr>
          <w:rFonts w:ascii="Arial" w:hAnsi="Arial" w:cs="Arial"/>
          <w:b/>
          <w:bCs/>
          <w:sz w:val="20"/>
          <w:szCs w:val="20"/>
          <w:lang w:eastAsia="en-US"/>
        </w:rPr>
      </w:pPr>
      <w:r w:rsidRPr="003866F9">
        <w:rPr>
          <w:rFonts w:ascii="Arial" w:hAnsi="Arial" w:cs="Arial"/>
          <w:b/>
          <w:bCs/>
          <w:sz w:val="20"/>
          <w:szCs w:val="20"/>
          <w:lang w:eastAsia="en-US"/>
        </w:rPr>
        <w:t>Gult innebär att de behöver testas i trafik innan vi kan uttala oss om de är godkända eller underkända. De är 6 av 19.</w:t>
      </w:r>
    </w:p>
    <w:p w14:paraId="2CD4309C" w14:textId="77777777" w:rsidR="009A69A2" w:rsidRPr="003866F9" w:rsidRDefault="009A69A2" w:rsidP="00DE0806">
      <w:pPr>
        <w:rPr>
          <w:rFonts w:ascii="Arial" w:hAnsi="Arial" w:cs="Arial"/>
          <w:b/>
          <w:bCs/>
          <w:sz w:val="20"/>
          <w:szCs w:val="20"/>
          <w:lang w:eastAsia="en-US"/>
        </w:rPr>
      </w:pPr>
      <w:r w:rsidRPr="003866F9">
        <w:rPr>
          <w:rFonts w:ascii="Arial" w:hAnsi="Arial" w:cs="Arial"/>
          <w:b/>
          <w:bCs/>
          <w:sz w:val="20"/>
          <w:szCs w:val="20"/>
          <w:lang w:eastAsia="en-US"/>
        </w:rPr>
        <w:t>Rött innebär att de är underkända. De är 5 av 19</w:t>
      </w:r>
    </w:p>
    <w:p w14:paraId="63598E56" w14:textId="77777777" w:rsidR="009A69A2" w:rsidRPr="003866F9" w:rsidRDefault="009A69A2" w:rsidP="00DE0806">
      <w:pPr>
        <w:rPr>
          <w:rFonts w:ascii="Arial" w:hAnsi="Arial" w:cs="Arial"/>
          <w:b/>
          <w:bCs/>
          <w:sz w:val="20"/>
          <w:szCs w:val="20"/>
          <w:lang w:eastAsia="en-US"/>
        </w:rPr>
      </w:pPr>
    </w:p>
    <w:p w14:paraId="7DB665E3" w14:textId="5AA4013C" w:rsidR="009A69A2" w:rsidRPr="00513283" w:rsidRDefault="009A69A2" w:rsidP="00DE0806">
      <w:pPr>
        <w:rPr>
          <w:rFonts w:ascii="Arial" w:hAnsi="Arial" w:cs="Arial"/>
          <w:b/>
          <w:bCs/>
          <w:sz w:val="20"/>
          <w:szCs w:val="20"/>
          <w:highlight w:val="yellow"/>
          <w:lang w:eastAsia="en-US"/>
        </w:rPr>
      </w:pPr>
      <w:r w:rsidRPr="00513283">
        <w:rPr>
          <w:rFonts w:ascii="Arial" w:hAnsi="Arial" w:cs="Arial"/>
          <w:b/>
          <w:bCs/>
          <w:sz w:val="20"/>
          <w:szCs w:val="20"/>
          <w:highlight w:val="yellow"/>
          <w:lang w:eastAsia="en-US"/>
        </w:rPr>
        <w:t>Simulatortesterna i Linköping visar att 9 av 19 är godkända.</w:t>
      </w:r>
      <w:r w:rsidR="00513283" w:rsidRPr="00513283">
        <w:rPr>
          <w:rFonts w:ascii="Arial" w:hAnsi="Arial" w:cs="Arial"/>
          <w:b/>
          <w:bCs/>
          <w:sz w:val="20"/>
          <w:szCs w:val="20"/>
          <w:highlight w:val="yellow"/>
          <w:lang w:eastAsia="en-US"/>
        </w:rPr>
        <w:t xml:space="preserve"> SYAB</w:t>
      </w:r>
    </w:p>
    <w:p w14:paraId="7ADF135D" w14:textId="377DA2D3" w:rsidR="00513283" w:rsidRPr="003866F9" w:rsidRDefault="00513283" w:rsidP="00513283">
      <w:pPr>
        <w:rPr>
          <w:rFonts w:ascii="Arial" w:hAnsi="Arial" w:cs="Arial"/>
          <w:b/>
          <w:bCs/>
          <w:sz w:val="20"/>
          <w:szCs w:val="20"/>
          <w:lang w:eastAsia="en-US"/>
        </w:rPr>
      </w:pPr>
      <w:r w:rsidRPr="00513283">
        <w:rPr>
          <w:rFonts w:ascii="Arial" w:hAnsi="Arial" w:cs="Arial"/>
          <w:b/>
          <w:bCs/>
          <w:sz w:val="20"/>
          <w:szCs w:val="20"/>
          <w:highlight w:val="yellow"/>
          <w:lang w:eastAsia="en-US"/>
        </w:rPr>
        <w:t xml:space="preserve">Simulatortesterna i Linköping visar att </w:t>
      </w:r>
      <w:r w:rsidRPr="00513283">
        <w:rPr>
          <w:rFonts w:ascii="Arial" w:hAnsi="Arial" w:cs="Arial"/>
          <w:b/>
          <w:bCs/>
          <w:sz w:val="20"/>
          <w:szCs w:val="20"/>
          <w:highlight w:val="yellow"/>
          <w:lang w:eastAsia="en-US"/>
        </w:rPr>
        <w:t>15</w:t>
      </w:r>
      <w:r w:rsidRPr="00513283">
        <w:rPr>
          <w:rFonts w:ascii="Arial" w:hAnsi="Arial" w:cs="Arial"/>
          <w:b/>
          <w:bCs/>
          <w:sz w:val="20"/>
          <w:szCs w:val="20"/>
          <w:highlight w:val="yellow"/>
          <w:lang w:eastAsia="en-US"/>
        </w:rPr>
        <w:t xml:space="preserve"> av 19 är godkända.</w:t>
      </w:r>
      <w:r w:rsidRPr="00513283">
        <w:rPr>
          <w:rFonts w:ascii="Arial" w:hAnsi="Arial" w:cs="Arial"/>
          <w:b/>
          <w:bCs/>
          <w:sz w:val="20"/>
          <w:szCs w:val="20"/>
          <w:highlight w:val="yellow"/>
          <w:lang w:eastAsia="en-US"/>
        </w:rPr>
        <w:t xml:space="preserve"> LINKÖPING</w:t>
      </w:r>
    </w:p>
    <w:p w14:paraId="596F9DD7" w14:textId="77777777" w:rsidR="009A69A2" w:rsidRPr="003866F9" w:rsidRDefault="009A69A2" w:rsidP="00DE0806">
      <w:pPr>
        <w:rPr>
          <w:rFonts w:ascii="Arial" w:hAnsi="Arial" w:cs="Arial"/>
          <w:b/>
          <w:bCs/>
          <w:sz w:val="20"/>
          <w:szCs w:val="20"/>
          <w:lang w:eastAsia="en-US"/>
        </w:rPr>
      </w:pPr>
    </w:p>
    <w:p w14:paraId="2A071BFF" w14:textId="77777777" w:rsidR="009A69A2" w:rsidRPr="003866F9" w:rsidRDefault="009A69A2" w:rsidP="003866F9">
      <w:pPr>
        <w:rPr>
          <w:rFonts w:ascii="Arial" w:hAnsi="Arial" w:cs="Arial"/>
          <w:b/>
          <w:bCs/>
          <w:sz w:val="20"/>
          <w:szCs w:val="20"/>
          <w:lang w:eastAsia="en-US"/>
        </w:rPr>
      </w:pPr>
      <w:r w:rsidRPr="003866F9">
        <w:rPr>
          <w:rFonts w:ascii="Arial" w:hAnsi="Arial" w:cs="Arial"/>
          <w:b/>
          <w:bCs/>
          <w:sz w:val="20"/>
          <w:szCs w:val="20"/>
          <w:lang w:eastAsia="en-US"/>
        </w:rPr>
        <w:t xml:space="preserve">Alltså har nästan hälften fått sina körkort indragna trots att man praktiskt kan bedöma att de borde klara av att ha sitt körkort kvar. Den här möjligheten till förarprov av kvalificerade förarprövare finns alltså inte trots att det beskrivs i EU-direktivet. </w:t>
      </w:r>
    </w:p>
    <w:p w14:paraId="6DC9C5C6" w14:textId="77777777" w:rsidR="009A69A2" w:rsidRPr="003866F9" w:rsidRDefault="009A69A2" w:rsidP="003866F9">
      <w:pPr>
        <w:rPr>
          <w:rFonts w:ascii="Arial" w:hAnsi="Arial" w:cs="Arial"/>
          <w:b/>
          <w:bCs/>
          <w:sz w:val="20"/>
          <w:szCs w:val="20"/>
          <w:lang w:eastAsia="en-US"/>
        </w:rPr>
      </w:pPr>
    </w:p>
    <w:p w14:paraId="70B52959" w14:textId="77777777" w:rsidR="009A69A2" w:rsidRPr="003866F9" w:rsidRDefault="009A69A2" w:rsidP="00DE0806">
      <w:pPr>
        <w:rPr>
          <w:rFonts w:ascii="Arial" w:hAnsi="Arial" w:cs="Arial"/>
          <w:b/>
          <w:bCs/>
          <w:sz w:val="20"/>
          <w:szCs w:val="20"/>
          <w:lang w:eastAsia="en-US"/>
        </w:rPr>
      </w:pPr>
      <w:r w:rsidRPr="003866F9">
        <w:rPr>
          <w:rFonts w:ascii="Arial" w:hAnsi="Arial" w:cs="Arial"/>
          <w:b/>
          <w:bCs/>
          <w:sz w:val="20"/>
          <w:szCs w:val="20"/>
          <w:lang w:eastAsia="en-US"/>
        </w:rPr>
        <w:t>I en ny vetenskaplig artikel skriver doktoranden Jonna Nyberg vid VTI i Linköping om de svåra konsekvenserna av att körkort dras in utan möjlighet till att visa sin körförmåga:</w:t>
      </w:r>
    </w:p>
    <w:p w14:paraId="7100353D" w14:textId="77777777" w:rsidR="009A69A2" w:rsidRPr="003866F9" w:rsidRDefault="009A69A2" w:rsidP="00DE0806">
      <w:pPr>
        <w:rPr>
          <w:rFonts w:ascii="Arial" w:hAnsi="Arial" w:cs="Arial"/>
          <w:b/>
          <w:bCs/>
          <w:sz w:val="20"/>
          <w:szCs w:val="20"/>
          <w:lang w:eastAsia="en-US"/>
        </w:rPr>
      </w:pPr>
    </w:p>
    <w:p w14:paraId="30075362" w14:textId="77777777" w:rsidR="009A69A2" w:rsidRPr="003866F9" w:rsidRDefault="009A69A2" w:rsidP="002461BE">
      <w:pPr>
        <w:autoSpaceDE w:val="0"/>
        <w:autoSpaceDN w:val="0"/>
        <w:adjustRightInd w:val="0"/>
        <w:rPr>
          <w:rFonts w:ascii="Arial" w:hAnsi="Arial" w:cs="Arial"/>
          <w:b/>
          <w:bCs/>
          <w:sz w:val="20"/>
          <w:szCs w:val="20"/>
        </w:rPr>
      </w:pPr>
      <w:r w:rsidRPr="003866F9">
        <w:rPr>
          <w:rFonts w:ascii="Arial" w:hAnsi="Arial" w:cs="Arial"/>
          <w:b/>
          <w:bCs/>
          <w:sz w:val="20"/>
          <w:szCs w:val="20"/>
        </w:rPr>
        <w:t>”Intervjupersonerna åsikten och känslan att de blivit orättvist bedömda i samband med att deras körkort drogs in.”</w:t>
      </w:r>
    </w:p>
    <w:p w14:paraId="24169192" w14:textId="77777777" w:rsidR="009A69A2" w:rsidRPr="003866F9" w:rsidRDefault="009A69A2" w:rsidP="00DE0806">
      <w:pPr>
        <w:rPr>
          <w:rFonts w:ascii="Arial" w:hAnsi="Arial" w:cs="Arial"/>
          <w:b/>
          <w:bCs/>
          <w:sz w:val="20"/>
          <w:szCs w:val="20"/>
          <w:lang w:eastAsia="en-US"/>
        </w:rPr>
      </w:pPr>
    </w:p>
    <w:p w14:paraId="10DB6602" w14:textId="77777777" w:rsidR="009A69A2" w:rsidRPr="003866F9" w:rsidRDefault="009A69A2" w:rsidP="002461BE">
      <w:pPr>
        <w:rPr>
          <w:rFonts w:ascii="Arial" w:hAnsi="Arial" w:cs="Arial"/>
          <w:b/>
          <w:bCs/>
          <w:color w:val="4F81BD"/>
          <w:sz w:val="20"/>
          <w:szCs w:val="20"/>
        </w:rPr>
      </w:pPr>
      <w:r w:rsidRPr="003866F9">
        <w:rPr>
          <w:rFonts w:ascii="Arial" w:hAnsi="Arial" w:cs="Arial"/>
          <w:b/>
          <w:bCs/>
          <w:color w:val="4F81BD"/>
          <w:sz w:val="20"/>
          <w:szCs w:val="20"/>
        </w:rPr>
        <w:t>Vår tanke är att presentera en modell för framtiden som bygger på EU-direktivet om att få göra ett praktiskt test</w:t>
      </w:r>
    </w:p>
    <w:p w14:paraId="4BE517A5" w14:textId="77777777" w:rsidR="009A69A2" w:rsidRPr="003866F9" w:rsidRDefault="009A69A2" w:rsidP="002461BE">
      <w:pPr>
        <w:rPr>
          <w:rFonts w:ascii="Arial" w:hAnsi="Arial" w:cs="Arial"/>
          <w:b/>
          <w:bCs/>
          <w:color w:val="4F81BD"/>
          <w:sz w:val="20"/>
          <w:szCs w:val="20"/>
        </w:rPr>
      </w:pPr>
    </w:p>
    <w:p w14:paraId="2EC8E245" w14:textId="77777777" w:rsidR="009A69A2" w:rsidRPr="003866F9" w:rsidRDefault="009A69A2" w:rsidP="002461BE">
      <w:pPr>
        <w:rPr>
          <w:rFonts w:ascii="Arial" w:hAnsi="Arial" w:cs="Arial"/>
          <w:b/>
          <w:bCs/>
          <w:sz w:val="20"/>
          <w:szCs w:val="20"/>
          <w:lang w:eastAsia="en-US"/>
        </w:rPr>
      </w:pPr>
      <w:r w:rsidRPr="003866F9">
        <w:rPr>
          <w:rFonts w:ascii="Arial" w:hAnsi="Arial" w:cs="Arial"/>
          <w:b/>
          <w:bCs/>
          <w:sz w:val="20"/>
          <w:szCs w:val="20"/>
          <w:lang w:eastAsia="en-US"/>
        </w:rPr>
        <w:t xml:space="preserve">1. Chans till dispens (om man inte klarar dagens eller framtidens medicinska </w:t>
      </w:r>
      <w:proofErr w:type="spellStart"/>
      <w:r w:rsidRPr="003866F9">
        <w:rPr>
          <w:rFonts w:ascii="Arial" w:hAnsi="Arial" w:cs="Arial"/>
          <w:b/>
          <w:bCs/>
          <w:sz w:val="20"/>
          <w:szCs w:val="20"/>
          <w:lang w:eastAsia="en-US"/>
        </w:rPr>
        <w:t>synkrav</w:t>
      </w:r>
      <w:proofErr w:type="spellEnd"/>
      <w:r w:rsidRPr="003866F9">
        <w:rPr>
          <w:rFonts w:ascii="Arial" w:hAnsi="Arial" w:cs="Arial"/>
          <w:b/>
          <w:bCs/>
          <w:sz w:val="20"/>
          <w:szCs w:val="20"/>
          <w:lang w:eastAsia="en-US"/>
        </w:rPr>
        <w:t xml:space="preserve">) ska kunna sökas av den enskilde medan man har körkortet kvar med medicinskt körförbud under 12 – 24 månader. Om man inom den tiden inte kan visa att man kan klara av ett program med träning och tester så dras körkortet in. Eller om man inser att synen inte räcker till för att köra bil så återlämnar man körkortet i samråd med sin ögonläkare och myndigheten (Minimikrav måste finnas). </w:t>
      </w:r>
    </w:p>
    <w:p w14:paraId="6B9D35EC" w14:textId="77777777" w:rsidR="009A69A2" w:rsidRPr="003866F9" w:rsidRDefault="009A69A2" w:rsidP="002461BE">
      <w:pPr>
        <w:rPr>
          <w:rFonts w:ascii="Arial" w:hAnsi="Arial" w:cs="Arial"/>
          <w:b/>
          <w:bCs/>
          <w:sz w:val="20"/>
          <w:szCs w:val="20"/>
          <w:lang w:eastAsia="en-US"/>
        </w:rPr>
      </w:pPr>
      <w:r w:rsidRPr="003866F9">
        <w:rPr>
          <w:rFonts w:ascii="Arial" w:hAnsi="Arial" w:cs="Arial"/>
          <w:b/>
          <w:bCs/>
          <w:sz w:val="20"/>
          <w:szCs w:val="20"/>
          <w:lang w:eastAsia="en-US"/>
        </w:rPr>
        <w:t xml:space="preserve">2. Det finns nya metoder för att kompensera synfältsbortfall vid stroke (Explorative </w:t>
      </w:r>
      <w:proofErr w:type="spellStart"/>
      <w:r w:rsidRPr="003866F9">
        <w:rPr>
          <w:rFonts w:ascii="Arial" w:hAnsi="Arial" w:cs="Arial"/>
          <w:b/>
          <w:bCs/>
          <w:sz w:val="20"/>
          <w:szCs w:val="20"/>
          <w:lang w:eastAsia="en-US"/>
        </w:rPr>
        <w:t>Saccadic</w:t>
      </w:r>
      <w:proofErr w:type="spellEnd"/>
      <w:r w:rsidRPr="003866F9">
        <w:rPr>
          <w:rFonts w:ascii="Arial" w:hAnsi="Arial" w:cs="Arial"/>
          <w:b/>
          <w:bCs/>
          <w:sz w:val="20"/>
          <w:szCs w:val="20"/>
          <w:lang w:eastAsia="en-US"/>
        </w:rPr>
        <w:t xml:space="preserve"> </w:t>
      </w:r>
      <w:proofErr w:type="spellStart"/>
      <w:r w:rsidRPr="003866F9">
        <w:rPr>
          <w:rFonts w:ascii="Arial" w:hAnsi="Arial" w:cs="Arial"/>
          <w:b/>
          <w:bCs/>
          <w:sz w:val="20"/>
          <w:szCs w:val="20"/>
          <w:lang w:eastAsia="en-US"/>
        </w:rPr>
        <w:t>Training</w:t>
      </w:r>
      <w:proofErr w:type="spellEnd"/>
      <w:r w:rsidRPr="003866F9">
        <w:rPr>
          <w:rFonts w:ascii="Arial" w:hAnsi="Arial" w:cs="Arial"/>
          <w:b/>
          <w:bCs/>
          <w:sz w:val="20"/>
          <w:szCs w:val="20"/>
          <w:lang w:eastAsia="en-US"/>
        </w:rPr>
        <w:t>) och våra metoder att träna och bedöma bilkörning, samt även utvärderingen av simulatortesterna vid VTI visar att man klarar av praktisk bilkörning trots att man inte uppfyller synkraven. (Hälften av våra deltagare klarar våra hårdare krav under projektet).</w:t>
      </w:r>
    </w:p>
    <w:p w14:paraId="092A9C2B" w14:textId="77777777" w:rsidR="009A69A2" w:rsidRPr="003866F9" w:rsidRDefault="009A69A2" w:rsidP="002461BE">
      <w:pPr>
        <w:rPr>
          <w:rFonts w:ascii="Arial" w:hAnsi="Arial" w:cs="Arial"/>
          <w:b/>
          <w:bCs/>
          <w:sz w:val="20"/>
          <w:szCs w:val="20"/>
          <w:lang w:eastAsia="en-US"/>
        </w:rPr>
      </w:pPr>
      <w:r w:rsidRPr="003866F9">
        <w:rPr>
          <w:rFonts w:ascii="Arial" w:hAnsi="Arial" w:cs="Arial"/>
          <w:b/>
          <w:bCs/>
          <w:sz w:val="20"/>
          <w:szCs w:val="20"/>
          <w:lang w:eastAsia="en-US"/>
        </w:rPr>
        <w:lastRenderedPageBreak/>
        <w:t xml:space="preserve">3. Vi tror på ett program där man tränar och testas under 4 dagar på inhägnad bana och (om lämpligt) för att bedöma körförmåga och att man då kan rekommendera att gå vidare eller inte med simulatortest och förarprov på väg (eftersom man har körkortet kvar). </w:t>
      </w:r>
    </w:p>
    <w:p w14:paraId="42B5D3CB" w14:textId="69DC478D" w:rsidR="009A69A2" w:rsidRPr="003866F9" w:rsidRDefault="009A69A2" w:rsidP="002461BE">
      <w:pPr>
        <w:rPr>
          <w:rFonts w:ascii="Arial" w:hAnsi="Arial" w:cs="Arial"/>
          <w:b/>
          <w:bCs/>
          <w:sz w:val="20"/>
          <w:szCs w:val="20"/>
          <w:lang w:eastAsia="en-US"/>
        </w:rPr>
      </w:pPr>
      <w:r w:rsidRPr="003866F9">
        <w:rPr>
          <w:rFonts w:ascii="Arial" w:hAnsi="Arial" w:cs="Arial"/>
          <w:b/>
          <w:bCs/>
          <w:sz w:val="20"/>
          <w:szCs w:val="20"/>
          <w:lang w:eastAsia="en-US"/>
        </w:rPr>
        <w:t>4. Om man kan visa intyg om godkänt resultat från träning och testning kan ögonläkare återkalla medicinska körförbudet. Om inte anmäls patienten och körkortet återkall</w:t>
      </w:r>
      <w:r w:rsidR="00513283">
        <w:rPr>
          <w:rFonts w:ascii="Arial" w:hAnsi="Arial" w:cs="Arial"/>
          <w:b/>
          <w:bCs/>
          <w:sz w:val="20"/>
          <w:szCs w:val="20"/>
          <w:lang w:eastAsia="en-US"/>
        </w:rPr>
        <w:t>a</w:t>
      </w:r>
      <w:r w:rsidRPr="003866F9">
        <w:rPr>
          <w:rFonts w:ascii="Arial" w:hAnsi="Arial" w:cs="Arial"/>
          <w:b/>
          <w:bCs/>
          <w:sz w:val="20"/>
          <w:szCs w:val="20"/>
          <w:lang w:eastAsia="en-US"/>
        </w:rPr>
        <w:t xml:space="preserve">s med god förståelse från patienten. </w:t>
      </w:r>
    </w:p>
    <w:p w14:paraId="548AF919" w14:textId="5277B47C" w:rsidR="009A69A2" w:rsidRPr="003866F9" w:rsidRDefault="009A69A2" w:rsidP="002461BE">
      <w:pPr>
        <w:rPr>
          <w:rFonts w:ascii="Arial" w:hAnsi="Arial" w:cs="Arial"/>
          <w:b/>
          <w:bCs/>
          <w:sz w:val="20"/>
          <w:szCs w:val="20"/>
          <w:lang w:eastAsia="en-US"/>
        </w:rPr>
      </w:pPr>
      <w:r w:rsidRPr="003866F9">
        <w:rPr>
          <w:rFonts w:ascii="Arial" w:hAnsi="Arial" w:cs="Arial"/>
          <w:b/>
          <w:bCs/>
          <w:sz w:val="20"/>
          <w:szCs w:val="20"/>
          <w:lang w:eastAsia="en-US"/>
        </w:rPr>
        <w:t xml:space="preserve">5. </w:t>
      </w:r>
      <w:r w:rsidRPr="00513283">
        <w:rPr>
          <w:rFonts w:ascii="Arial" w:hAnsi="Arial" w:cs="Arial"/>
          <w:b/>
          <w:bCs/>
          <w:sz w:val="20"/>
          <w:szCs w:val="20"/>
          <w:highlight w:val="yellow"/>
          <w:lang w:eastAsia="en-US"/>
        </w:rPr>
        <w:t>Dessa principer stämmer enligt en vetenskaplig artikel (Bro/Lindblom) med principerna i övriga Norden samt framför allt Nederländerna</w:t>
      </w:r>
      <w:r w:rsidR="00513283" w:rsidRPr="00513283">
        <w:rPr>
          <w:rFonts w:ascii="Arial" w:hAnsi="Arial" w:cs="Arial"/>
          <w:b/>
          <w:bCs/>
          <w:sz w:val="20"/>
          <w:szCs w:val="20"/>
          <w:highlight w:val="yellow"/>
          <w:lang w:eastAsia="en-US"/>
        </w:rPr>
        <w:t xml:space="preserve"> men även resultat från en enig internationell forskningsvärld,</w:t>
      </w:r>
      <w:r w:rsidRPr="00513283">
        <w:rPr>
          <w:rFonts w:ascii="Arial" w:hAnsi="Arial" w:cs="Arial"/>
          <w:b/>
          <w:bCs/>
          <w:sz w:val="20"/>
          <w:szCs w:val="20"/>
          <w:highlight w:val="yellow"/>
          <w:lang w:eastAsia="en-US"/>
        </w:rPr>
        <w:t xml:space="preserve"> där vi hämtat kunskaper och inspiration</w:t>
      </w:r>
      <w:bookmarkStart w:id="0" w:name="_GoBack"/>
      <w:bookmarkEnd w:id="0"/>
      <w:r w:rsidRPr="003866F9">
        <w:rPr>
          <w:rFonts w:ascii="Arial" w:hAnsi="Arial" w:cs="Arial"/>
          <w:b/>
          <w:bCs/>
          <w:sz w:val="20"/>
          <w:szCs w:val="20"/>
          <w:lang w:eastAsia="en-US"/>
        </w:rPr>
        <w:t xml:space="preserve">.  </w:t>
      </w:r>
      <w:r>
        <w:rPr>
          <w:rFonts w:ascii="Arial" w:hAnsi="Arial" w:cs="Arial"/>
          <w:b/>
          <w:bCs/>
          <w:sz w:val="20"/>
          <w:szCs w:val="20"/>
          <w:lang w:eastAsia="en-US"/>
        </w:rPr>
        <w:t>Där finns</w:t>
      </w:r>
      <w:r w:rsidRPr="003866F9">
        <w:rPr>
          <w:rFonts w:ascii="Arial" w:hAnsi="Arial" w:cs="Arial"/>
          <w:b/>
          <w:bCs/>
          <w:sz w:val="20"/>
          <w:szCs w:val="20"/>
          <w:lang w:eastAsia="en-US"/>
        </w:rPr>
        <w:t xml:space="preserve"> </w:t>
      </w:r>
      <w:proofErr w:type="spellStart"/>
      <w:r w:rsidRPr="003866F9">
        <w:rPr>
          <w:rFonts w:ascii="Arial" w:hAnsi="Arial" w:cs="Arial"/>
          <w:b/>
          <w:bCs/>
          <w:sz w:val="20"/>
          <w:szCs w:val="20"/>
          <w:lang w:eastAsia="en-US"/>
        </w:rPr>
        <w:t>Fitness</w:t>
      </w:r>
      <w:proofErr w:type="spellEnd"/>
      <w:r w:rsidRPr="003866F9">
        <w:rPr>
          <w:rFonts w:ascii="Arial" w:hAnsi="Arial" w:cs="Arial"/>
          <w:b/>
          <w:bCs/>
          <w:sz w:val="20"/>
          <w:szCs w:val="20"/>
          <w:lang w:eastAsia="en-US"/>
        </w:rPr>
        <w:t xml:space="preserve"> to Drive </w:t>
      </w:r>
      <w:r>
        <w:rPr>
          <w:rFonts w:ascii="Arial" w:hAnsi="Arial" w:cs="Arial"/>
          <w:b/>
          <w:bCs/>
          <w:sz w:val="20"/>
          <w:szCs w:val="20"/>
          <w:lang w:eastAsia="en-US"/>
        </w:rPr>
        <w:t>Centers som vi nu med CTD som koncept</w:t>
      </w:r>
      <w:r w:rsidRPr="003866F9">
        <w:rPr>
          <w:rFonts w:ascii="Arial" w:hAnsi="Arial" w:cs="Arial"/>
          <w:b/>
          <w:bCs/>
          <w:sz w:val="20"/>
          <w:szCs w:val="20"/>
          <w:lang w:eastAsia="en-US"/>
        </w:rPr>
        <w:t xml:space="preserve"> har byggt upp vid SYAB i Kalmar som en första sådan institution. </w:t>
      </w:r>
    </w:p>
    <w:p w14:paraId="72831290" w14:textId="77777777" w:rsidR="009A69A2" w:rsidRPr="003866F9" w:rsidRDefault="009A69A2" w:rsidP="002461BE">
      <w:pPr>
        <w:rPr>
          <w:rFonts w:ascii="Arial" w:hAnsi="Arial" w:cs="Arial"/>
          <w:b/>
          <w:bCs/>
          <w:sz w:val="20"/>
          <w:szCs w:val="20"/>
          <w:lang w:eastAsia="en-US"/>
        </w:rPr>
      </w:pPr>
    </w:p>
    <w:p w14:paraId="296C2064" w14:textId="77777777" w:rsidR="009A69A2" w:rsidRPr="003866F9" w:rsidRDefault="009A69A2" w:rsidP="002461BE">
      <w:pPr>
        <w:rPr>
          <w:rFonts w:ascii="Arial" w:hAnsi="Arial" w:cs="Arial"/>
          <w:b/>
          <w:bCs/>
          <w:sz w:val="20"/>
          <w:szCs w:val="20"/>
          <w:lang w:eastAsia="en-US"/>
        </w:rPr>
      </w:pPr>
      <w:r w:rsidRPr="003866F9">
        <w:rPr>
          <w:rFonts w:ascii="Arial" w:hAnsi="Arial" w:cs="Arial"/>
          <w:b/>
          <w:bCs/>
          <w:sz w:val="20"/>
          <w:szCs w:val="20"/>
          <w:lang w:eastAsia="en-US"/>
        </w:rPr>
        <w:t>Johan Ekblad</w:t>
      </w:r>
      <w:r w:rsidRPr="003866F9">
        <w:rPr>
          <w:rFonts w:ascii="Arial" w:hAnsi="Arial" w:cs="Arial"/>
          <w:b/>
          <w:bCs/>
          <w:sz w:val="20"/>
          <w:szCs w:val="20"/>
          <w:lang w:eastAsia="en-US"/>
        </w:rPr>
        <w:tab/>
        <w:t xml:space="preserve">Johan </w:t>
      </w:r>
      <w:proofErr w:type="spellStart"/>
      <w:r w:rsidRPr="003866F9">
        <w:rPr>
          <w:rFonts w:ascii="Arial" w:hAnsi="Arial" w:cs="Arial"/>
          <w:b/>
          <w:bCs/>
          <w:sz w:val="20"/>
          <w:szCs w:val="20"/>
          <w:lang w:eastAsia="en-US"/>
        </w:rPr>
        <w:t>Ursjö</w:t>
      </w:r>
      <w:proofErr w:type="spellEnd"/>
      <w:r w:rsidRPr="003866F9">
        <w:rPr>
          <w:rFonts w:ascii="Arial" w:hAnsi="Arial" w:cs="Arial"/>
          <w:b/>
          <w:bCs/>
          <w:sz w:val="20"/>
          <w:szCs w:val="20"/>
          <w:lang w:eastAsia="en-US"/>
        </w:rPr>
        <w:tab/>
        <w:t>Jan Andersson Krister Inde</w:t>
      </w:r>
    </w:p>
    <w:p w14:paraId="34235C65" w14:textId="77777777" w:rsidR="009A69A2" w:rsidRPr="003866F9" w:rsidRDefault="009A69A2" w:rsidP="00500721">
      <w:pPr>
        <w:rPr>
          <w:rFonts w:ascii="Arial" w:hAnsi="Arial" w:cs="Arial"/>
          <w:b/>
          <w:bCs/>
          <w:sz w:val="20"/>
          <w:szCs w:val="20"/>
        </w:rPr>
      </w:pPr>
      <w:r w:rsidRPr="003866F9">
        <w:rPr>
          <w:rFonts w:ascii="Arial" w:hAnsi="Arial" w:cs="Arial"/>
          <w:b/>
          <w:bCs/>
          <w:sz w:val="20"/>
          <w:szCs w:val="20"/>
        </w:rPr>
        <w:t>VD, SYAB</w:t>
      </w:r>
      <w:r w:rsidRPr="003866F9">
        <w:rPr>
          <w:rFonts w:ascii="Arial" w:hAnsi="Arial" w:cs="Arial"/>
          <w:b/>
          <w:bCs/>
          <w:sz w:val="20"/>
          <w:szCs w:val="20"/>
        </w:rPr>
        <w:tab/>
        <w:t xml:space="preserve">Metodingenjör Professor, </w:t>
      </w:r>
      <w:proofErr w:type="gramStart"/>
      <w:r w:rsidRPr="003866F9">
        <w:rPr>
          <w:rFonts w:ascii="Arial" w:hAnsi="Arial" w:cs="Arial"/>
          <w:b/>
          <w:bCs/>
          <w:sz w:val="20"/>
          <w:szCs w:val="20"/>
        </w:rPr>
        <w:t xml:space="preserve">VTI  </w:t>
      </w:r>
      <w:proofErr w:type="spellStart"/>
      <w:r w:rsidRPr="003866F9">
        <w:rPr>
          <w:rFonts w:ascii="Arial" w:hAnsi="Arial" w:cs="Arial"/>
          <w:b/>
          <w:bCs/>
          <w:sz w:val="20"/>
          <w:szCs w:val="20"/>
        </w:rPr>
        <w:t>Synpedagog</w:t>
      </w:r>
      <w:proofErr w:type="spellEnd"/>
      <w:proofErr w:type="gramEnd"/>
      <w:r w:rsidRPr="003866F9">
        <w:rPr>
          <w:rFonts w:ascii="Arial" w:hAnsi="Arial" w:cs="Arial"/>
          <w:b/>
          <w:bCs/>
          <w:sz w:val="20"/>
          <w:szCs w:val="20"/>
        </w:rPr>
        <w:t>, författare</w:t>
      </w:r>
    </w:p>
    <w:sectPr w:rsidR="009A69A2" w:rsidRPr="003866F9" w:rsidSect="00770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5E5"/>
    <w:multiLevelType w:val="hybridMultilevel"/>
    <w:tmpl w:val="2440F11C"/>
    <w:lvl w:ilvl="0" w:tplc="7FB849A2">
      <w:start w:val="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F22B8A"/>
    <w:multiLevelType w:val="hybridMultilevel"/>
    <w:tmpl w:val="8E6685DC"/>
    <w:lvl w:ilvl="0" w:tplc="4410729E">
      <w:start w:val="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980A45"/>
    <w:multiLevelType w:val="hybridMultilevel"/>
    <w:tmpl w:val="74545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6748A5"/>
    <w:multiLevelType w:val="hybridMultilevel"/>
    <w:tmpl w:val="F726E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0F3E6B"/>
    <w:multiLevelType w:val="hybridMultilevel"/>
    <w:tmpl w:val="55BC6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05"/>
    <w:rsid w:val="000326D8"/>
    <w:rsid w:val="00035473"/>
    <w:rsid w:val="000A0D8A"/>
    <w:rsid w:val="000A7554"/>
    <w:rsid w:val="00104262"/>
    <w:rsid w:val="00110F9C"/>
    <w:rsid w:val="00122A40"/>
    <w:rsid w:val="00192A76"/>
    <w:rsid w:val="001B4EE7"/>
    <w:rsid w:val="00201CA4"/>
    <w:rsid w:val="0021256C"/>
    <w:rsid w:val="00237FDE"/>
    <w:rsid w:val="002461BE"/>
    <w:rsid w:val="00267FF9"/>
    <w:rsid w:val="002D5B82"/>
    <w:rsid w:val="00304D11"/>
    <w:rsid w:val="00305816"/>
    <w:rsid w:val="00306F2A"/>
    <w:rsid w:val="003151E5"/>
    <w:rsid w:val="00333A9C"/>
    <w:rsid w:val="0036287E"/>
    <w:rsid w:val="003630B9"/>
    <w:rsid w:val="003732AA"/>
    <w:rsid w:val="00380B64"/>
    <w:rsid w:val="00384AD0"/>
    <w:rsid w:val="003866F9"/>
    <w:rsid w:val="003964D0"/>
    <w:rsid w:val="003D30D3"/>
    <w:rsid w:val="0046332C"/>
    <w:rsid w:val="00480116"/>
    <w:rsid w:val="004823D3"/>
    <w:rsid w:val="00500721"/>
    <w:rsid w:val="00513283"/>
    <w:rsid w:val="00522A42"/>
    <w:rsid w:val="00530E43"/>
    <w:rsid w:val="00575584"/>
    <w:rsid w:val="00576F86"/>
    <w:rsid w:val="00582914"/>
    <w:rsid w:val="00592A21"/>
    <w:rsid w:val="005A1D3F"/>
    <w:rsid w:val="005A4B62"/>
    <w:rsid w:val="005B6005"/>
    <w:rsid w:val="005E04C9"/>
    <w:rsid w:val="006630DF"/>
    <w:rsid w:val="00663A89"/>
    <w:rsid w:val="006B04F7"/>
    <w:rsid w:val="006F6439"/>
    <w:rsid w:val="007703E2"/>
    <w:rsid w:val="007E75EA"/>
    <w:rsid w:val="007F49C6"/>
    <w:rsid w:val="00856ECD"/>
    <w:rsid w:val="008C444A"/>
    <w:rsid w:val="008E1F68"/>
    <w:rsid w:val="008F3377"/>
    <w:rsid w:val="00914A91"/>
    <w:rsid w:val="00946361"/>
    <w:rsid w:val="00947F34"/>
    <w:rsid w:val="00964014"/>
    <w:rsid w:val="00967E27"/>
    <w:rsid w:val="009718E4"/>
    <w:rsid w:val="00981D47"/>
    <w:rsid w:val="009A1A29"/>
    <w:rsid w:val="009A69A2"/>
    <w:rsid w:val="009B7AAF"/>
    <w:rsid w:val="009C15C4"/>
    <w:rsid w:val="00A06305"/>
    <w:rsid w:val="00A2249B"/>
    <w:rsid w:val="00A43C3A"/>
    <w:rsid w:val="00A67364"/>
    <w:rsid w:val="00B109FD"/>
    <w:rsid w:val="00B56F25"/>
    <w:rsid w:val="00B57436"/>
    <w:rsid w:val="00B67A9F"/>
    <w:rsid w:val="00B74A19"/>
    <w:rsid w:val="00C00BF7"/>
    <w:rsid w:val="00C220D6"/>
    <w:rsid w:val="00C501CB"/>
    <w:rsid w:val="00C975F9"/>
    <w:rsid w:val="00CD06D0"/>
    <w:rsid w:val="00CD10CE"/>
    <w:rsid w:val="00CD1973"/>
    <w:rsid w:val="00CD2154"/>
    <w:rsid w:val="00CE16A6"/>
    <w:rsid w:val="00CE6BC1"/>
    <w:rsid w:val="00D32C59"/>
    <w:rsid w:val="00D5437A"/>
    <w:rsid w:val="00D84302"/>
    <w:rsid w:val="00D9528A"/>
    <w:rsid w:val="00DD6E12"/>
    <w:rsid w:val="00DE0806"/>
    <w:rsid w:val="00E10522"/>
    <w:rsid w:val="00E36669"/>
    <w:rsid w:val="00E71B64"/>
    <w:rsid w:val="00E76A7A"/>
    <w:rsid w:val="00E8696A"/>
    <w:rsid w:val="00E86B9C"/>
    <w:rsid w:val="00E91C16"/>
    <w:rsid w:val="00ED23CE"/>
    <w:rsid w:val="00ED320B"/>
    <w:rsid w:val="00F0388A"/>
    <w:rsid w:val="00F7775B"/>
    <w:rsid w:val="00FA1D28"/>
    <w:rsid w:val="00FA3FAC"/>
    <w:rsid w:val="00FC06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0C93F"/>
  <w15:docId w15:val="{7865363C-00CE-4488-9D07-1E46B48A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05"/>
    <w:rPr>
      <w:rFonts w:ascii="Times New Roman" w:eastAsia="Times New Roman" w:hAnsi="Times New Roman"/>
      <w:sz w:val="24"/>
      <w:szCs w:val="24"/>
    </w:rPr>
  </w:style>
  <w:style w:type="paragraph" w:styleId="Rubrik1">
    <w:name w:val="heading 1"/>
    <w:basedOn w:val="Normal"/>
    <w:next w:val="Normal"/>
    <w:link w:val="Rubrik1Char"/>
    <w:uiPriority w:val="99"/>
    <w:qFormat/>
    <w:rsid w:val="005B6005"/>
    <w:pPr>
      <w:keepNext/>
      <w:keepLines/>
      <w:spacing w:before="480"/>
      <w:outlineLvl w:val="0"/>
    </w:pPr>
    <w:rPr>
      <w:rFonts w:ascii="Cambria" w:hAnsi="Cambria"/>
      <w:b/>
      <w:bCs/>
      <w:color w:val="365F91"/>
      <w:sz w:val="28"/>
      <w:szCs w:val="28"/>
    </w:rPr>
  </w:style>
  <w:style w:type="paragraph" w:styleId="Rubrik2">
    <w:name w:val="heading 2"/>
    <w:basedOn w:val="Normal"/>
    <w:next w:val="Normal"/>
    <w:link w:val="Rubrik2Char"/>
    <w:uiPriority w:val="99"/>
    <w:qFormat/>
    <w:rsid w:val="009A1A29"/>
    <w:pPr>
      <w:keepNext/>
      <w:keepLines/>
      <w:spacing w:before="200"/>
      <w:outlineLvl w:val="1"/>
    </w:pPr>
    <w:rPr>
      <w:rFonts w:ascii="Cambria" w:hAnsi="Cambria"/>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5B6005"/>
    <w:rPr>
      <w:rFonts w:ascii="Cambria" w:hAnsi="Cambria" w:cs="Times New Roman"/>
      <w:b/>
      <w:bCs/>
      <w:color w:val="365F91"/>
      <w:sz w:val="28"/>
      <w:szCs w:val="28"/>
      <w:lang w:eastAsia="sv-SE"/>
    </w:rPr>
  </w:style>
  <w:style w:type="character" w:customStyle="1" w:styleId="Rubrik2Char">
    <w:name w:val="Rubrik 2 Char"/>
    <w:basedOn w:val="Standardstycketeckensnitt"/>
    <w:link w:val="Rubrik2"/>
    <w:uiPriority w:val="99"/>
    <w:locked/>
    <w:rsid w:val="009A1A29"/>
    <w:rPr>
      <w:rFonts w:ascii="Cambria" w:hAnsi="Cambria" w:cs="Times New Roman"/>
      <w:b/>
      <w:bCs/>
      <w:color w:val="4F81BD"/>
      <w:sz w:val="26"/>
      <w:szCs w:val="26"/>
      <w:lang w:eastAsia="sv-SE"/>
    </w:rPr>
  </w:style>
  <w:style w:type="paragraph" w:styleId="Liststycke">
    <w:name w:val="List Paragraph"/>
    <w:basedOn w:val="Normal"/>
    <w:uiPriority w:val="99"/>
    <w:qFormat/>
    <w:rsid w:val="005B6005"/>
    <w:pPr>
      <w:spacing w:after="200" w:line="276" w:lineRule="auto"/>
      <w:ind w:left="720"/>
      <w:contextualSpacing/>
    </w:pPr>
    <w:rPr>
      <w:rFonts w:ascii="Calibri" w:eastAsia="Calibri" w:hAnsi="Calibri"/>
      <w:sz w:val="22"/>
      <w:szCs w:val="22"/>
      <w:lang w:eastAsia="en-US"/>
    </w:rPr>
  </w:style>
  <w:style w:type="paragraph" w:styleId="Normalwebb">
    <w:name w:val="Normal (Web)"/>
    <w:basedOn w:val="Normal"/>
    <w:uiPriority w:val="99"/>
    <w:rsid w:val="005B6005"/>
    <w:pPr>
      <w:spacing w:before="100" w:beforeAutospacing="1" w:after="100" w:afterAutospacing="1"/>
    </w:pPr>
  </w:style>
  <w:style w:type="character" w:customStyle="1" w:styleId="apple-converted-space">
    <w:name w:val="apple-converted-space"/>
    <w:basedOn w:val="Standardstycketeckensnitt"/>
    <w:uiPriority w:val="99"/>
    <w:rsid w:val="005B6005"/>
    <w:rPr>
      <w:rFonts w:cs="Times New Roman"/>
    </w:rPr>
  </w:style>
  <w:style w:type="paragraph" w:styleId="Ballongtext">
    <w:name w:val="Balloon Text"/>
    <w:basedOn w:val="Normal"/>
    <w:link w:val="BallongtextChar"/>
    <w:uiPriority w:val="99"/>
    <w:semiHidden/>
    <w:rsid w:val="005A1D3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A1D3F"/>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7647">
      <w:marLeft w:val="0"/>
      <w:marRight w:val="0"/>
      <w:marTop w:val="0"/>
      <w:marBottom w:val="0"/>
      <w:divBdr>
        <w:top w:val="none" w:sz="0" w:space="0" w:color="auto"/>
        <w:left w:val="none" w:sz="0" w:space="0" w:color="auto"/>
        <w:bottom w:val="none" w:sz="0" w:space="0" w:color="auto"/>
        <w:right w:val="none" w:sz="0" w:space="0" w:color="auto"/>
      </w:divBdr>
    </w:div>
    <w:div w:id="249047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FB47BC5F62D549B2AB5AF64DF8B4A9" ma:contentTypeVersion="7" ma:contentTypeDescription="Skapa ett nytt dokument." ma:contentTypeScope="" ma:versionID="d3f939a344d3d6944eb8df2d3ab7b6df">
  <xsd:schema xmlns:xsd="http://www.w3.org/2001/XMLSchema" xmlns:xs="http://www.w3.org/2001/XMLSchema" xmlns:p="http://schemas.microsoft.com/office/2006/metadata/properties" xmlns:ns3="18392510-fa22-4cd2-ad14-ec06c1b922f7" targetNamespace="http://schemas.microsoft.com/office/2006/metadata/properties" ma:root="true" ma:fieldsID="904fab2eea361a94a6fa342f1a29384f" ns3:_="">
    <xsd:import namespace="18392510-fa22-4cd2-ad14-ec06c1b922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92510-fa22-4cd2-ad14-ec06c1b92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6BB78-D53A-4905-9ACD-63C85FBEC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92510-fa22-4cd2-ad14-ec06c1b92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F74FC-1471-4735-9A90-1F72E9F461F0}">
  <ds:schemaRefs>
    <ds:schemaRef ds:uri="http://schemas.microsoft.com/sharepoint/v3/contenttype/forms"/>
  </ds:schemaRefs>
</ds:datastoreItem>
</file>

<file path=customXml/itemProps3.xml><?xml version="1.0" encoding="utf-8"?>
<ds:datastoreItem xmlns:ds="http://schemas.openxmlformats.org/officeDocument/2006/customXml" ds:itemID="{1EEF984C-C024-47FE-8809-152330195B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1121</Words>
  <Characters>5946</Characters>
  <Application>Microsoft Office Word</Application>
  <DocSecurity>4</DocSecurity>
  <Lines>49</Lines>
  <Paragraphs>14</Paragraphs>
  <ScaleCrop>false</ScaleCrop>
  <HeadingPairs>
    <vt:vector size="2" baseType="variant">
      <vt:variant>
        <vt:lpstr>Rubrik</vt:lpstr>
      </vt:variant>
      <vt:variant>
        <vt:i4>1</vt:i4>
      </vt:variant>
    </vt:vector>
  </HeadingPairs>
  <TitlesOfParts>
    <vt:vector size="1" baseType="lpstr">
      <vt:lpstr>2019-08-14</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2019-08-14</dc:title>
  <dc:subject/>
  <dc:creator>Johan</dc:creator>
  <cp:keywords/>
  <dc:description/>
  <cp:lastModifiedBy>Jan Andersson (Traf)</cp:lastModifiedBy>
  <cp:revision>2</cp:revision>
  <cp:lastPrinted>2019-07-29T20:11:00Z</cp:lastPrinted>
  <dcterms:created xsi:type="dcterms:W3CDTF">2019-08-20T13:29:00Z</dcterms:created>
  <dcterms:modified xsi:type="dcterms:W3CDTF">2019-08-20T13:29:00Z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0x010100A9FB47BC5F62D549B2AB5AF64DF8B4A9</vt:lpwstr>
  </property>
</Properties>
</file>